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F98D" w14:textId="4ED96DC0" w:rsidR="00D62706" w:rsidRDefault="00D62706" w:rsidP="00D62706">
      <w:pPr>
        <w:pStyle w:val="Titre1"/>
      </w:pPr>
      <w:r>
        <w:t>Modification de la façon dont les objectifs sont décrits dans la Constitution</w:t>
      </w:r>
    </w:p>
    <w:p w14:paraId="75AD2A9A" w14:textId="77777777" w:rsidR="00D62706" w:rsidRPr="004E5CD2" w:rsidRDefault="00D62706" w:rsidP="00D62706">
      <w:pPr>
        <w:ind w:left="720"/>
        <w:jc w:val="both"/>
        <w:rPr>
          <w:sz w:val="28"/>
          <w:szCs w:val="28"/>
        </w:rPr>
      </w:pPr>
    </w:p>
    <w:tbl>
      <w:tblPr>
        <w:tblStyle w:val="Grilledutableau"/>
        <w:tblW w:w="0" w:type="auto"/>
        <w:tblInd w:w="720" w:type="dxa"/>
        <w:tblLook w:val="04A0" w:firstRow="1" w:lastRow="0" w:firstColumn="1" w:lastColumn="0" w:noHBand="0" w:noVBand="1"/>
      </w:tblPr>
      <w:tblGrid>
        <w:gridCol w:w="1060"/>
        <w:gridCol w:w="2788"/>
        <w:gridCol w:w="3935"/>
      </w:tblGrid>
      <w:tr w:rsidR="00D62706" w14:paraId="1592D2B8" w14:textId="77777777" w:rsidTr="0031627C">
        <w:tc>
          <w:tcPr>
            <w:tcW w:w="1037" w:type="dxa"/>
          </w:tcPr>
          <w:p w14:paraId="43745503" w14:textId="77777777" w:rsidR="00D62706" w:rsidRPr="001906F5" w:rsidRDefault="00D62706" w:rsidP="0031627C">
            <w:pPr>
              <w:pStyle w:val="Paragraphedeliste"/>
              <w:ind w:left="0"/>
              <w:jc w:val="both"/>
              <w:rPr>
                <w:b/>
                <w:sz w:val="28"/>
                <w:szCs w:val="28"/>
              </w:rPr>
            </w:pPr>
            <w:r>
              <w:rPr>
                <w:b/>
                <w:sz w:val="28"/>
              </w:rPr>
              <w:t>Article</w:t>
            </w:r>
          </w:p>
        </w:tc>
        <w:tc>
          <w:tcPr>
            <w:tcW w:w="2788" w:type="dxa"/>
          </w:tcPr>
          <w:p w14:paraId="60EE362B" w14:textId="77777777" w:rsidR="00D62706" w:rsidRPr="001906F5" w:rsidRDefault="00D62706" w:rsidP="0031627C">
            <w:pPr>
              <w:pStyle w:val="Paragraphedeliste"/>
              <w:ind w:left="0"/>
              <w:jc w:val="both"/>
              <w:rPr>
                <w:b/>
                <w:sz w:val="28"/>
                <w:szCs w:val="28"/>
              </w:rPr>
            </w:pPr>
            <w:r>
              <w:rPr>
                <w:b/>
                <w:sz w:val="28"/>
              </w:rPr>
              <w:t>Texte existant</w:t>
            </w:r>
          </w:p>
        </w:tc>
        <w:tc>
          <w:tcPr>
            <w:tcW w:w="3935" w:type="dxa"/>
          </w:tcPr>
          <w:p w14:paraId="2DA106E9" w14:textId="77777777" w:rsidR="00D62706" w:rsidRPr="001906F5" w:rsidRDefault="00D62706" w:rsidP="0031627C">
            <w:pPr>
              <w:pStyle w:val="Paragraphedeliste"/>
              <w:ind w:left="0"/>
              <w:jc w:val="both"/>
              <w:rPr>
                <w:b/>
                <w:sz w:val="28"/>
                <w:szCs w:val="28"/>
              </w:rPr>
            </w:pPr>
            <w:r>
              <w:rPr>
                <w:b/>
                <w:sz w:val="28"/>
              </w:rPr>
              <w:t>Texte modifié proposé</w:t>
            </w:r>
          </w:p>
        </w:tc>
      </w:tr>
      <w:tr w:rsidR="00D62706" w14:paraId="30028A52" w14:textId="77777777" w:rsidTr="0031627C">
        <w:tc>
          <w:tcPr>
            <w:tcW w:w="1037" w:type="dxa"/>
          </w:tcPr>
          <w:p w14:paraId="3CAA878E" w14:textId="77777777" w:rsidR="00D62706" w:rsidRDefault="00D62706" w:rsidP="0031627C">
            <w:pPr>
              <w:pStyle w:val="Paragraphedeliste"/>
              <w:ind w:left="0"/>
              <w:jc w:val="both"/>
              <w:rPr>
                <w:sz w:val="28"/>
                <w:szCs w:val="28"/>
              </w:rPr>
            </w:pPr>
            <w:r>
              <w:rPr>
                <w:sz w:val="28"/>
              </w:rPr>
              <w:t>2</w:t>
            </w:r>
          </w:p>
        </w:tc>
        <w:tc>
          <w:tcPr>
            <w:tcW w:w="2788" w:type="dxa"/>
          </w:tcPr>
          <w:p w14:paraId="751F1A97" w14:textId="77777777" w:rsidR="00D62706" w:rsidRPr="00C71ED3" w:rsidRDefault="00D62706" w:rsidP="0031627C">
            <w:pPr>
              <w:pStyle w:val="Titre2"/>
            </w:pPr>
            <w:r>
              <w:t xml:space="preserve">« Paragraphe 1 – Objectifs </w:t>
            </w:r>
          </w:p>
          <w:p w14:paraId="454C020D" w14:textId="77777777" w:rsidR="00D62706" w:rsidRPr="00C71ED3" w:rsidRDefault="00D62706" w:rsidP="0031627C">
            <w:pPr>
              <w:widowControl w:val="0"/>
              <w:autoSpaceDE w:val="0"/>
              <w:autoSpaceDN w:val="0"/>
              <w:adjustRightInd w:val="0"/>
              <w:rPr>
                <w:rFonts w:eastAsia="Times New Roman" w:cs="Arial"/>
                <w:szCs w:val="28"/>
                <w:lang w:eastAsia="da-DK"/>
              </w:rPr>
            </w:pPr>
          </w:p>
          <w:p w14:paraId="0FF7757B" w14:textId="31E90040" w:rsidR="00D62706" w:rsidRPr="00C71ED3" w:rsidRDefault="003F69B2" w:rsidP="0031627C">
            <w:pPr>
              <w:widowControl w:val="0"/>
              <w:autoSpaceDE w:val="0"/>
              <w:autoSpaceDN w:val="0"/>
              <w:adjustRightInd w:val="0"/>
              <w:jc w:val="both"/>
              <w:rPr>
                <w:rFonts w:eastAsia="Times New Roman" w:cs="Arial"/>
                <w:szCs w:val="28"/>
              </w:rPr>
            </w:pPr>
            <w:r>
              <w:t>« </w:t>
            </w:r>
            <w:r w:rsidR="00D62706">
              <w:t xml:space="preserve">Les objectifs de l’Union consistent à protéger et à promouvoir les droits de l’homme, civils, politiques, économiques, sociaux et culturels des personnes aveugles et malvoyantes; à permettre aux personnes aveugles et malvoyantes de s’unir et d’exprimer leurs points de vue et leurs aspirations et, en accord avec l’établissement de décisions prises par le biais de procédés démocratiques, à entreprendre des actions collectives afin de travailler en vue des progrès et du bien-être des personnes aveugles et malvoyantes, dans le but de leur offrir une égalité des chances et leur pleine participation dans la société, en prenant, si nécessaire, des mesures spéciales, légales ou administratives; le renforcement de la conscience de soi des personnes aveugles, le développement de leur personnalité, du respect </w:t>
            </w:r>
            <w:r w:rsidR="00D62706">
              <w:lastRenderedPageBreak/>
              <w:t>d’elles-mêmes et du sens des responsabilités; et l’organisation d’une plate-forme internationale d’échange de connaissances et d'expériences dans le domaine de la cécité, ainsi que dans celui de la prévention de la cécité.</w:t>
            </w:r>
          </w:p>
          <w:p w14:paraId="2362B179" w14:textId="77777777" w:rsidR="00D62706" w:rsidRPr="00C71ED3" w:rsidRDefault="00D62706" w:rsidP="0031627C">
            <w:pPr>
              <w:widowControl w:val="0"/>
              <w:autoSpaceDE w:val="0"/>
              <w:autoSpaceDN w:val="0"/>
              <w:adjustRightInd w:val="0"/>
              <w:rPr>
                <w:rFonts w:eastAsia="Times New Roman" w:cs="Arial"/>
                <w:szCs w:val="28"/>
                <w:lang w:eastAsia="da-DK"/>
              </w:rPr>
            </w:pPr>
          </w:p>
          <w:p w14:paraId="1C3F34DE" w14:textId="77777777" w:rsidR="00D62706" w:rsidRPr="00C71ED3" w:rsidRDefault="00D62706" w:rsidP="0031627C">
            <w:pPr>
              <w:pStyle w:val="Titre2"/>
            </w:pPr>
            <w:r>
              <w:t xml:space="preserve">Paragraphe 2 – Fonctions </w:t>
            </w:r>
          </w:p>
          <w:p w14:paraId="3FDBEE2F" w14:textId="77777777" w:rsidR="00D62706" w:rsidRPr="00C71ED3" w:rsidRDefault="00D62706" w:rsidP="0031627C">
            <w:pPr>
              <w:widowControl w:val="0"/>
              <w:autoSpaceDE w:val="0"/>
              <w:autoSpaceDN w:val="0"/>
              <w:adjustRightInd w:val="0"/>
              <w:rPr>
                <w:rFonts w:eastAsia="Times New Roman" w:cs="Arial"/>
                <w:szCs w:val="28"/>
                <w:lang w:eastAsia="da-DK"/>
              </w:rPr>
            </w:pPr>
          </w:p>
          <w:p w14:paraId="734D4A20" w14:textId="77777777" w:rsidR="00D62706" w:rsidRPr="00C71ED3" w:rsidRDefault="00D62706" w:rsidP="0031627C">
            <w:pPr>
              <w:widowControl w:val="0"/>
              <w:autoSpaceDE w:val="0"/>
              <w:autoSpaceDN w:val="0"/>
              <w:adjustRightInd w:val="0"/>
              <w:rPr>
                <w:rFonts w:eastAsia="Times New Roman" w:cs="Arial"/>
                <w:szCs w:val="28"/>
              </w:rPr>
            </w:pPr>
            <w:r>
              <w:t>L’Union a pour mission d'exercer les fonctions suivantes :</w:t>
            </w:r>
          </w:p>
          <w:p w14:paraId="7721B1A5" w14:textId="77777777" w:rsidR="00D62706" w:rsidRPr="00C71ED3" w:rsidRDefault="00D62706" w:rsidP="0031627C">
            <w:pPr>
              <w:widowControl w:val="0"/>
              <w:autoSpaceDE w:val="0"/>
              <w:autoSpaceDN w:val="0"/>
              <w:adjustRightInd w:val="0"/>
              <w:rPr>
                <w:rFonts w:eastAsia="Times New Roman" w:cs="Arial"/>
                <w:szCs w:val="28"/>
                <w:lang w:eastAsia="da-DK"/>
              </w:rPr>
            </w:pPr>
          </w:p>
          <w:p w14:paraId="62A9093D"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 xml:space="preserve">Contribuer à l’amélioration progressive et à la modernisation dans le monde entier des politiques et pratiques des </w:t>
            </w:r>
            <w:proofErr w:type="spellStart"/>
            <w:r>
              <w:t>Etats</w:t>
            </w:r>
            <w:proofErr w:type="spellEnd"/>
            <w:r>
              <w:t xml:space="preserve"> concernant l’éducation, la santé, le bien-être, la sécurité sociale, la réadaptation, l’emploi, la pratique des sports et les loisirs des personnes aveugles et ayant un handicap visuel ;</w:t>
            </w:r>
          </w:p>
          <w:p w14:paraId="09D46492"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Favoriser la création et le développement d’associations nationales de personnes aveugles et malvoyantes ;</w:t>
            </w:r>
          </w:p>
          <w:p w14:paraId="3422EEBC"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Organiser et stimuler les échanges d’informations et d’expériences entre toutes les associations dont les activités sont en rapport avec les objectifs de l’Union ;</w:t>
            </w:r>
          </w:p>
          <w:p w14:paraId="3B2D76E4"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Diffuser une information exacte et promouvoir dans le monde une attitude éclairée vis-à-vis des personnes aveugles et ayant un handicap visuel ;</w:t>
            </w:r>
          </w:p>
          <w:p w14:paraId="5A36E570" w14:textId="77777777" w:rsidR="00D62706" w:rsidRDefault="00D62706" w:rsidP="003F69B2">
            <w:pPr>
              <w:widowControl w:val="0"/>
              <w:numPr>
                <w:ilvl w:val="0"/>
                <w:numId w:val="2"/>
              </w:numPr>
              <w:autoSpaceDE w:val="0"/>
              <w:autoSpaceDN w:val="0"/>
              <w:adjustRightInd w:val="0"/>
              <w:ind w:left="0" w:firstLine="0"/>
              <w:jc w:val="both"/>
              <w:rPr>
                <w:rFonts w:eastAsia="Times New Roman" w:cs="Arial"/>
                <w:szCs w:val="28"/>
              </w:rPr>
            </w:pPr>
            <w:r>
              <w:t>Encourager, coordonner et mener des recherches et des études dans toutes les disciplines touchant la cécité, y compris la prévention ;</w:t>
            </w:r>
          </w:p>
          <w:p w14:paraId="070CE703" w14:textId="77777777" w:rsidR="00D62706" w:rsidRDefault="00D62706" w:rsidP="003F69B2">
            <w:pPr>
              <w:widowControl w:val="0"/>
              <w:numPr>
                <w:ilvl w:val="0"/>
                <w:numId w:val="2"/>
              </w:numPr>
              <w:autoSpaceDE w:val="0"/>
              <w:autoSpaceDN w:val="0"/>
              <w:adjustRightInd w:val="0"/>
              <w:ind w:left="0" w:firstLine="0"/>
              <w:jc w:val="both"/>
              <w:rPr>
                <w:rFonts w:eastAsia="Times New Roman" w:cs="Arial"/>
                <w:szCs w:val="28"/>
              </w:rPr>
            </w:pPr>
            <w:r>
              <w:t>Fournir directement, favoriser et coordonner l’assistance technique et matérielle en vue de la réalisation des objectifs de l’Union dans les domaines où cette aide est nécessaire ;</w:t>
            </w:r>
          </w:p>
          <w:p w14:paraId="15071218"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Solliciter en tous lieux l’aide des gouvernements nationaux et des organisations nationales et internationales en faveur des programmes et des actions de l’Union et des associations de personnes aveugles et pour les personnes aveugles, et aider et conseiller ces organismes afin de les mettre en œuvre ;</w:t>
            </w:r>
          </w:p>
          <w:p w14:paraId="4B4DD871"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Encourager la participation des parents des enfants aveugles et malvoyants (qui ne peuvent pas se représenter) dans toutes les décisions en rapport avec l’éducation, le bien-être et les aspirations, touchant aussi bien les parents que leurs enfants ;</w:t>
            </w:r>
          </w:p>
          <w:p w14:paraId="047549F6"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Rechercher de manière active une représentation et une participation équitables en ce qui concerne le genre et l’âge dans ses différentes activités et, en particulier, dans la sélection des délégations effectuée en vue de l’Assemblée par les membres nationaux, groupés et spéciaux ;</w:t>
            </w:r>
          </w:p>
          <w:p w14:paraId="22A30CDB" w14:textId="77777777" w:rsidR="00D62706"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Rechercher activement une représentation équitable des pays industrialisés et en développement dans l’élection des membres du Comité Exécutif et lorsqu’il s’agit de constituer des Comités, des groupes de travail, des groupes pour une tâche concrète et d’autres organes similaires ;</w:t>
            </w:r>
          </w:p>
          <w:p w14:paraId="6430E0A8" w14:textId="77777777" w:rsidR="00D62706" w:rsidRPr="00E05854" w:rsidRDefault="00D62706" w:rsidP="003F69B2">
            <w:pPr>
              <w:widowControl w:val="0"/>
              <w:numPr>
                <w:ilvl w:val="0"/>
                <w:numId w:val="2"/>
              </w:numPr>
              <w:tabs>
                <w:tab w:val="left" w:pos="469"/>
              </w:tabs>
              <w:autoSpaceDE w:val="0"/>
              <w:autoSpaceDN w:val="0"/>
              <w:adjustRightInd w:val="0"/>
              <w:ind w:left="0" w:firstLine="0"/>
              <w:jc w:val="both"/>
              <w:rPr>
                <w:rFonts w:eastAsia="Times New Roman" w:cs="Arial"/>
                <w:szCs w:val="28"/>
              </w:rPr>
            </w:pPr>
            <w:r>
              <w:t>Prendre toute autre mesure nécessaire ou utile à la réalisation des objectifs de l’Union. »</w:t>
            </w:r>
          </w:p>
          <w:p w14:paraId="42278897" w14:textId="77777777" w:rsidR="00D62706" w:rsidRDefault="00D62706" w:rsidP="0031627C">
            <w:pPr>
              <w:pStyle w:val="Paragraphedeliste"/>
              <w:ind w:left="0"/>
              <w:jc w:val="both"/>
              <w:rPr>
                <w:sz w:val="28"/>
                <w:szCs w:val="28"/>
              </w:rPr>
            </w:pPr>
          </w:p>
        </w:tc>
        <w:tc>
          <w:tcPr>
            <w:tcW w:w="3935" w:type="dxa"/>
          </w:tcPr>
          <w:p w14:paraId="01AFD07E" w14:textId="77777777" w:rsidR="00D62706" w:rsidRPr="004E5CD2" w:rsidRDefault="00D62706" w:rsidP="0031627C">
            <w:pPr>
              <w:jc w:val="both"/>
              <w:rPr>
                <w:sz w:val="28"/>
                <w:szCs w:val="28"/>
              </w:rPr>
            </w:pPr>
            <w:r>
              <w:rPr>
                <w:sz w:val="28"/>
              </w:rPr>
              <w:lastRenderedPageBreak/>
              <w:t>« Buts et objectifs de l’UMA</w:t>
            </w:r>
          </w:p>
          <w:p w14:paraId="50DE17C3" w14:textId="77777777" w:rsidR="00D62706" w:rsidRDefault="00D62706" w:rsidP="0031627C">
            <w:pPr>
              <w:pStyle w:val="Paragraphedeliste"/>
              <w:ind w:left="0"/>
              <w:jc w:val="both"/>
              <w:rPr>
                <w:sz w:val="28"/>
                <w:szCs w:val="28"/>
              </w:rPr>
            </w:pPr>
          </w:p>
          <w:p w14:paraId="73427133" w14:textId="77777777" w:rsidR="00D62706" w:rsidRPr="009610D9" w:rsidRDefault="00D62706" w:rsidP="0031627C">
            <w:pPr>
              <w:pStyle w:val="Paragraphedeliste"/>
              <w:widowControl w:val="0"/>
              <w:numPr>
                <w:ilvl w:val="0"/>
                <w:numId w:val="3"/>
              </w:numPr>
              <w:autoSpaceDE w:val="0"/>
              <w:autoSpaceDN w:val="0"/>
              <w:adjustRightInd w:val="0"/>
              <w:ind w:left="133" w:firstLine="227"/>
              <w:jc w:val="both"/>
              <w:rPr>
                <w:rFonts w:eastAsia="Times New Roman" w:cs="Arial"/>
              </w:rPr>
            </w:pPr>
            <w:r>
              <w:t>Les buts et objectifs de l’union consistent à protéger et à promouvoir les droits de l’homme, civils, politiques, économiques, sociaux et culturels des personnes aveugles et malvoyantes; à permettre aux personnes aveugles et malvoyantes de s’unir et d’exprimer leurs points de vue et leurs aspirations et, en accord avec l’établissement de décisions prises par le biais de procédés démocratiques, à entreprendre des actions collectives afin de travailler en vue des progrès et du bien-être des personnes aveugles et malvoyantes, dans le but de leur offrir une égalité des chances et leur pleine participation dans la société, en prenant, si nécessaire, des mesures spéciales, légales ou administratives; le renforcement de la conscience de soi des personnes aveugles, le développement de leur personnalité, du respect d’elles-mêmes et du sens des responsabilités; et l’organisation d’une plate-forme internationale d’échange de connaissances et d'expériences dans le domaine de la cécité, ainsi que dans celui de la prévention de la cécité.</w:t>
            </w:r>
          </w:p>
          <w:p w14:paraId="56FDAECE" w14:textId="77777777" w:rsidR="00D62706" w:rsidRPr="009610D9" w:rsidRDefault="00D62706" w:rsidP="0031627C">
            <w:pPr>
              <w:pStyle w:val="Paragraphedeliste"/>
              <w:widowControl w:val="0"/>
              <w:numPr>
                <w:ilvl w:val="0"/>
                <w:numId w:val="3"/>
              </w:numPr>
              <w:autoSpaceDE w:val="0"/>
              <w:autoSpaceDN w:val="0"/>
              <w:adjustRightInd w:val="0"/>
              <w:ind w:left="133" w:firstLine="227"/>
              <w:jc w:val="both"/>
              <w:rPr>
                <w:rFonts w:eastAsia="Times New Roman" w:cs="Arial"/>
              </w:rPr>
            </w:pPr>
            <w:r>
              <w:t>À cette fin, l’UMA s’efforce :</w:t>
            </w:r>
          </w:p>
          <w:p w14:paraId="5D2809A6" w14:textId="77777777" w:rsidR="00D62706" w:rsidRPr="009610D9" w:rsidRDefault="00D62706" w:rsidP="003F69B2">
            <w:pPr>
              <w:widowControl w:val="0"/>
              <w:numPr>
                <w:ilvl w:val="0"/>
                <w:numId w:val="4"/>
              </w:numPr>
              <w:tabs>
                <w:tab w:val="left" w:pos="379"/>
              </w:tabs>
              <w:autoSpaceDE w:val="0"/>
              <w:autoSpaceDN w:val="0"/>
              <w:adjustRightInd w:val="0"/>
              <w:ind w:left="0" w:firstLine="0"/>
              <w:jc w:val="both"/>
              <w:rPr>
                <w:rFonts w:eastAsia="Times New Roman" w:cs="Arial"/>
              </w:rPr>
            </w:pPr>
            <w:r>
              <w:t xml:space="preserve">De contribuer à l’amélioration progressive et à la modernisation dans le monde entier des politiques et pratiques des </w:t>
            </w:r>
            <w:proofErr w:type="spellStart"/>
            <w:r>
              <w:t>Etats</w:t>
            </w:r>
            <w:proofErr w:type="spellEnd"/>
            <w:r>
              <w:t xml:space="preserve"> concernant l’éducation, la santé, le bien-être, la </w:t>
            </w:r>
            <w:r>
              <w:lastRenderedPageBreak/>
              <w:t>sécurité sociale, la réadaptation, l’emploi, la pratique des sports et les loisirs des personnes aveugles et ayant un handicap visuel ;</w:t>
            </w:r>
          </w:p>
          <w:p w14:paraId="640705F6" w14:textId="77777777" w:rsidR="00D62706" w:rsidRPr="009610D9" w:rsidRDefault="00D62706" w:rsidP="003F69B2">
            <w:pPr>
              <w:widowControl w:val="0"/>
              <w:numPr>
                <w:ilvl w:val="0"/>
                <w:numId w:val="4"/>
              </w:numPr>
              <w:tabs>
                <w:tab w:val="left" w:pos="382"/>
              </w:tabs>
              <w:autoSpaceDE w:val="0"/>
              <w:autoSpaceDN w:val="0"/>
              <w:adjustRightInd w:val="0"/>
              <w:ind w:left="0" w:firstLine="0"/>
              <w:jc w:val="both"/>
              <w:rPr>
                <w:rFonts w:eastAsia="Times New Roman" w:cs="Arial"/>
              </w:rPr>
            </w:pPr>
            <w:r>
              <w:t>De favoriser la création et le développement d’associations nationales de personnes aveugles et malvoyantes ;</w:t>
            </w:r>
          </w:p>
          <w:p w14:paraId="7C7C9457" w14:textId="77777777" w:rsidR="00D62706" w:rsidRPr="009610D9" w:rsidRDefault="00D62706" w:rsidP="003F69B2">
            <w:pPr>
              <w:widowControl w:val="0"/>
              <w:numPr>
                <w:ilvl w:val="0"/>
                <w:numId w:val="4"/>
              </w:numPr>
              <w:tabs>
                <w:tab w:val="left" w:pos="382"/>
              </w:tabs>
              <w:autoSpaceDE w:val="0"/>
              <w:autoSpaceDN w:val="0"/>
              <w:adjustRightInd w:val="0"/>
              <w:ind w:left="0" w:firstLine="0"/>
              <w:jc w:val="both"/>
              <w:rPr>
                <w:rFonts w:eastAsia="Times New Roman" w:cs="Arial"/>
              </w:rPr>
            </w:pPr>
            <w:r>
              <w:t>D’organiser et de stimuler les échanges d’informations et d’expériences entre toutes les associations dont les activités sont en rapport avec les objectifs de l’Union ;</w:t>
            </w:r>
          </w:p>
          <w:p w14:paraId="5253D5F9" w14:textId="77777777" w:rsidR="00D62706" w:rsidRPr="009610D9" w:rsidRDefault="00D62706" w:rsidP="003F69B2">
            <w:pPr>
              <w:widowControl w:val="0"/>
              <w:numPr>
                <w:ilvl w:val="0"/>
                <w:numId w:val="4"/>
              </w:numPr>
              <w:tabs>
                <w:tab w:val="left" w:pos="382"/>
              </w:tabs>
              <w:autoSpaceDE w:val="0"/>
              <w:autoSpaceDN w:val="0"/>
              <w:adjustRightInd w:val="0"/>
              <w:ind w:left="0" w:firstLine="0"/>
              <w:jc w:val="both"/>
              <w:rPr>
                <w:rFonts w:eastAsia="Times New Roman" w:cs="Arial"/>
              </w:rPr>
            </w:pPr>
            <w:r>
              <w:t>De diffuser une information exacte et promouvoir dans le monde une attitude éclairée vis-à-vis des personnes aveugles et ayant un handicap visuel ;</w:t>
            </w:r>
          </w:p>
          <w:p w14:paraId="7544A1C6" w14:textId="77777777" w:rsidR="00D62706" w:rsidRPr="009610D9" w:rsidRDefault="00D62706" w:rsidP="003F69B2">
            <w:pPr>
              <w:widowControl w:val="0"/>
              <w:numPr>
                <w:ilvl w:val="0"/>
                <w:numId w:val="4"/>
              </w:numPr>
              <w:tabs>
                <w:tab w:val="left" w:pos="382"/>
              </w:tabs>
              <w:autoSpaceDE w:val="0"/>
              <w:autoSpaceDN w:val="0"/>
              <w:adjustRightInd w:val="0"/>
              <w:ind w:left="0" w:firstLine="0"/>
              <w:jc w:val="both"/>
              <w:rPr>
                <w:rFonts w:eastAsia="Times New Roman" w:cs="Arial"/>
              </w:rPr>
            </w:pPr>
            <w:r>
              <w:t>D’encourager, de coordonner et de mener des recherches et des études dans toutes les disciplines touchant la cécité, y compris la prévention ;</w:t>
            </w:r>
          </w:p>
          <w:p w14:paraId="64FF0D7B" w14:textId="77777777" w:rsidR="00D62706" w:rsidRPr="009610D9" w:rsidRDefault="00D62706" w:rsidP="003F69B2">
            <w:pPr>
              <w:widowControl w:val="0"/>
              <w:numPr>
                <w:ilvl w:val="0"/>
                <w:numId w:val="4"/>
              </w:numPr>
              <w:tabs>
                <w:tab w:val="left" w:pos="382"/>
              </w:tabs>
              <w:autoSpaceDE w:val="0"/>
              <w:autoSpaceDN w:val="0"/>
              <w:adjustRightInd w:val="0"/>
              <w:ind w:left="0" w:firstLine="0"/>
              <w:jc w:val="both"/>
              <w:rPr>
                <w:rFonts w:eastAsia="Times New Roman" w:cs="Arial"/>
              </w:rPr>
            </w:pPr>
            <w:r>
              <w:t>De fournir directement, de favoriser et de coordonner l’assistance technique et matérielle en vue de la réalisation des objectifs de l’Union dans les domaines où cette aide est nécessaire ;</w:t>
            </w:r>
          </w:p>
          <w:p w14:paraId="27B51EE5" w14:textId="77777777" w:rsidR="00D62706" w:rsidRPr="009610D9" w:rsidRDefault="00D62706" w:rsidP="003F69B2">
            <w:pPr>
              <w:widowControl w:val="0"/>
              <w:numPr>
                <w:ilvl w:val="0"/>
                <w:numId w:val="4"/>
              </w:numPr>
              <w:tabs>
                <w:tab w:val="left" w:pos="382"/>
              </w:tabs>
              <w:autoSpaceDE w:val="0"/>
              <w:autoSpaceDN w:val="0"/>
              <w:adjustRightInd w:val="0"/>
              <w:ind w:left="-56" w:firstLine="56"/>
              <w:jc w:val="both"/>
              <w:rPr>
                <w:rFonts w:eastAsia="Times New Roman" w:cs="Arial"/>
              </w:rPr>
            </w:pPr>
            <w:r>
              <w:t>De solliciter en tous lieux l’aide des gouvernements nationaux et des organisations nationales et internationales en faveur des programmes et des actions de l’Union et des associations de personnes aveugles et pour les personnes aveugles, et aider et conseiller ces organismes afin de les mettre en œuvre ;</w:t>
            </w:r>
          </w:p>
          <w:p w14:paraId="6A6F10A7" w14:textId="77777777" w:rsidR="00D62706" w:rsidRPr="009610D9" w:rsidRDefault="00D62706" w:rsidP="003F69B2">
            <w:pPr>
              <w:widowControl w:val="0"/>
              <w:numPr>
                <w:ilvl w:val="0"/>
                <w:numId w:val="4"/>
              </w:numPr>
              <w:tabs>
                <w:tab w:val="left" w:pos="382"/>
              </w:tabs>
              <w:autoSpaceDE w:val="0"/>
              <w:autoSpaceDN w:val="0"/>
              <w:adjustRightInd w:val="0"/>
              <w:ind w:left="-56" w:firstLine="56"/>
              <w:jc w:val="both"/>
              <w:rPr>
                <w:rFonts w:eastAsia="Times New Roman" w:cs="Arial"/>
              </w:rPr>
            </w:pPr>
            <w:r>
              <w:t>D’encourager la participation des parents des enfants aveugles et malvoyants (qui ne peuvent pas se représenter) dans toutes les décisions en rapport avec l’éducation, le bien-être et les aspirations, touchant aussi bien les parents que leurs enfants ;</w:t>
            </w:r>
          </w:p>
          <w:p w14:paraId="41DED23A" w14:textId="77777777" w:rsidR="00D62706" w:rsidRPr="009610D9" w:rsidRDefault="00D62706" w:rsidP="003F69B2">
            <w:pPr>
              <w:widowControl w:val="0"/>
              <w:numPr>
                <w:ilvl w:val="0"/>
                <w:numId w:val="4"/>
              </w:numPr>
              <w:tabs>
                <w:tab w:val="left" w:pos="382"/>
              </w:tabs>
              <w:autoSpaceDE w:val="0"/>
              <w:autoSpaceDN w:val="0"/>
              <w:adjustRightInd w:val="0"/>
              <w:ind w:left="-56" w:firstLine="56"/>
              <w:jc w:val="both"/>
              <w:rPr>
                <w:rFonts w:eastAsia="Times New Roman" w:cs="Arial"/>
              </w:rPr>
            </w:pPr>
            <w:r>
              <w:t>De rechercher de manière active une représentation et une participation équitables en ce qui concerne le genre et l’âge dans ses différentes activités et, en particulier, dans la sélection des délégations effectuée en vue de l’Assemblée par les membres nationaux, groupés et spéciaux ;</w:t>
            </w:r>
          </w:p>
          <w:p w14:paraId="1C33C2B4" w14:textId="77777777" w:rsidR="00D62706" w:rsidRPr="009610D9" w:rsidRDefault="00D62706" w:rsidP="0031627C">
            <w:pPr>
              <w:widowControl w:val="0"/>
              <w:numPr>
                <w:ilvl w:val="0"/>
                <w:numId w:val="4"/>
              </w:numPr>
              <w:autoSpaceDE w:val="0"/>
              <w:autoSpaceDN w:val="0"/>
              <w:adjustRightInd w:val="0"/>
              <w:ind w:left="-56" w:firstLine="56"/>
              <w:jc w:val="both"/>
              <w:rPr>
                <w:rFonts w:eastAsia="Times New Roman" w:cs="Arial"/>
              </w:rPr>
            </w:pPr>
            <w:r>
              <w:t>De rechercher activement une représentation équitable des pays industrialisés et en développement dans l’élection des membres du Comité Exécutif et lorsqu’il s’agit de constituer des Comités, des groupes de travail, des groupes pour une tâche concrète et d’autres organes similaires ;</w:t>
            </w:r>
          </w:p>
          <w:p w14:paraId="20427155" w14:textId="457FD621" w:rsidR="00D62706" w:rsidRPr="003F69B2" w:rsidRDefault="00D62706" w:rsidP="003F69B2">
            <w:pPr>
              <w:widowControl w:val="0"/>
              <w:numPr>
                <w:ilvl w:val="0"/>
                <w:numId w:val="4"/>
              </w:numPr>
              <w:autoSpaceDE w:val="0"/>
              <w:autoSpaceDN w:val="0"/>
              <w:adjustRightInd w:val="0"/>
              <w:ind w:left="-56" w:firstLine="56"/>
              <w:jc w:val="both"/>
              <w:rPr>
                <w:rFonts w:eastAsia="Times New Roman" w:cs="Arial"/>
              </w:rPr>
            </w:pPr>
            <w:r>
              <w:t>De prendre toute autre mesure nécessaire ou utile à la réalisation des objectifs de l’Union. »</w:t>
            </w:r>
          </w:p>
        </w:tc>
      </w:tr>
    </w:tbl>
    <w:p w14:paraId="71EB22C1" w14:textId="77777777" w:rsidR="00D62706" w:rsidRPr="00D62706" w:rsidRDefault="00D62706">
      <w:pPr>
        <w:rPr>
          <w:lang w:val="en-US"/>
        </w:rPr>
      </w:pPr>
    </w:p>
    <w:sectPr w:rsidR="00D62706" w:rsidRPr="00D627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94E2E"/>
    <w:multiLevelType w:val="hybridMultilevel"/>
    <w:tmpl w:val="194E0B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613F0"/>
    <w:multiLevelType w:val="hybridMultilevel"/>
    <w:tmpl w:val="2D1AA2F8"/>
    <w:lvl w:ilvl="0" w:tplc="221E1C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D71026"/>
    <w:multiLevelType w:val="hybridMultilevel"/>
    <w:tmpl w:val="2AA4575A"/>
    <w:lvl w:ilvl="0" w:tplc="779AC15A">
      <w:start w:val="1"/>
      <w:numFmt w:val="decimal"/>
      <w:lvlText w:val="%1."/>
      <w:lvlJc w:val="left"/>
      <w:pPr>
        <w:ind w:left="720" w:hanging="360"/>
      </w:pPr>
      <w:rPr>
        <w:rFonts w:eastAsiaTheme="minorHAnsi" w:cstheme="minorBidi"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3C0242"/>
    <w:multiLevelType w:val="hybridMultilevel"/>
    <w:tmpl w:val="F15E6058"/>
    <w:lvl w:ilvl="0" w:tplc="5A96AF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44037620">
    <w:abstractNumId w:val="3"/>
  </w:num>
  <w:num w:numId="2" w16cid:durableId="120157038">
    <w:abstractNumId w:val="0"/>
  </w:num>
  <w:num w:numId="3" w16cid:durableId="641272284">
    <w:abstractNumId w:val="2"/>
  </w:num>
  <w:num w:numId="4" w16cid:durableId="1387877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06"/>
    <w:rsid w:val="00215305"/>
    <w:rsid w:val="003F69B2"/>
    <w:rsid w:val="00676944"/>
    <w:rsid w:val="009721BD"/>
    <w:rsid w:val="009E6F58"/>
    <w:rsid w:val="00BA09A7"/>
    <w:rsid w:val="00C31434"/>
    <w:rsid w:val="00C5657A"/>
    <w:rsid w:val="00D62706"/>
    <w:rsid w:val="00E71B9F"/>
    <w:rsid w:val="00F313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9B41"/>
  <w15:chartTrackingRefBased/>
  <w15:docId w15:val="{2F00EE1E-8E5D-4126-963D-B5B07C22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6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27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27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27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27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27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27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27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27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627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27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27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27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27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27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27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2706"/>
    <w:rPr>
      <w:rFonts w:eastAsiaTheme="majorEastAsia" w:cstheme="majorBidi"/>
      <w:color w:val="272727" w:themeColor="text1" w:themeTint="D8"/>
    </w:rPr>
  </w:style>
  <w:style w:type="paragraph" w:styleId="Titre">
    <w:name w:val="Title"/>
    <w:basedOn w:val="Normal"/>
    <w:next w:val="Normal"/>
    <w:link w:val="TitreCar"/>
    <w:uiPriority w:val="10"/>
    <w:qFormat/>
    <w:rsid w:val="00D6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27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27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27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2706"/>
    <w:pPr>
      <w:spacing w:before="160"/>
      <w:jc w:val="center"/>
    </w:pPr>
    <w:rPr>
      <w:i/>
      <w:iCs/>
      <w:color w:val="404040" w:themeColor="text1" w:themeTint="BF"/>
    </w:rPr>
  </w:style>
  <w:style w:type="character" w:customStyle="1" w:styleId="CitationCar">
    <w:name w:val="Citation Car"/>
    <w:basedOn w:val="Policepardfaut"/>
    <w:link w:val="Citation"/>
    <w:uiPriority w:val="29"/>
    <w:rsid w:val="00D62706"/>
    <w:rPr>
      <w:i/>
      <w:iCs/>
      <w:color w:val="404040" w:themeColor="text1" w:themeTint="BF"/>
    </w:rPr>
  </w:style>
  <w:style w:type="paragraph" w:styleId="Paragraphedeliste">
    <w:name w:val="List Paragraph"/>
    <w:basedOn w:val="Normal"/>
    <w:uiPriority w:val="34"/>
    <w:qFormat/>
    <w:rsid w:val="00D62706"/>
    <w:pPr>
      <w:ind w:left="720"/>
      <w:contextualSpacing/>
    </w:pPr>
  </w:style>
  <w:style w:type="character" w:styleId="Accentuationintense">
    <w:name w:val="Intense Emphasis"/>
    <w:basedOn w:val="Policepardfaut"/>
    <w:uiPriority w:val="21"/>
    <w:qFormat/>
    <w:rsid w:val="00D62706"/>
    <w:rPr>
      <w:i/>
      <w:iCs/>
      <w:color w:val="0F4761" w:themeColor="accent1" w:themeShade="BF"/>
    </w:rPr>
  </w:style>
  <w:style w:type="paragraph" w:styleId="Citationintense">
    <w:name w:val="Intense Quote"/>
    <w:basedOn w:val="Normal"/>
    <w:next w:val="Normal"/>
    <w:link w:val="CitationintenseCar"/>
    <w:uiPriority w:val="30"/>
    <w:qFormat/>
    <w:rsid w:val="00D6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2706"/>
    <w:rPr>
      <w:i/>
      <w:iCs/>
      <w:color w:val="0F4761" w:themeColor="accent1" w:themeShade="BF"/>
    </w:rPr>
  </w:style>
  <w:style w:type="character" w:styleId="Rfrenceintense">
    <w:name w:val="Intense Reference"/>
    <w:basedOn w:val="Policepardfaut"/>
    <w:uiPriority w:val="32"/>
    <w:qFormat/>
    <w:rsid w:val="00D62706"/>
    <w:rPr>
      <w:b/>
      <w:bCs/>
      <w:smallCaps/>
      <w:color w:val="0F4761" w:themeColor="accent1" w:themeShade="BF"/>
      <w:spacing w:val="5"/>
    </w:rPr>
  </w:style>
  <w:style w:type="table" w:styleId="Grilledutableau">
    <w:name w:val="Table Grid"/>
    <w:basedOn w:val="TableauNormal"/>
    <w:uiPriority w:val="59"/>
    <w:rsid w:val="00D6270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1066</Words>
  <Characters>5867</Characters>
  <Application>Microsoft Office Word</Application>
  <DocSecurity>0</DocSecurity>
  <Lines>48</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Workman</dc:creator>
  <cp:keywords/>
  <dc:description/>
  <cp:lastModifiedBy>Traductions St-François</cp:lastModifiedBy>
  <cp:revision>2</cp:revision>
  <dcterms:created xsi:type="dcterms:W3CDTF">2025-06-28T20:42:00Z</dcterms:created>
  <dcterms:modified xsi:type="dcterms:W3CDTF">2025-07-16T11:12:00Z</dcterms:modified>
</cp:coreProperties>
</file>