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FEFE" w14:textId="51E51CEB" w:rsidR="009C7B47" w:rsidRDefault="00C44936" w:rsidP="00F76146">
      <w:pPr>
        <w:pStyle w:val="Title"/>
        <w:rPr>
          <w:rFonts w:ascii="Arial" w:hAnsi="Arial" w:cs="Arial"/>
          <w:b w:val="0"/>
          <w:bCs/>
          <w:sz w:val="22"/>
          <w:szCs w:val="22"/>
        </w:rPr>
      </w:pPr>
      <w:r>
        <w:rPr>
          <w:noProof/>
        </w:rPr>
        <w:drawing>
          <wp:anchor distT="0" distB="0" distL="114300" distR="114300" simplePos="0" relativeHeight="251661312" behindDoc="0" locked="0" layoutInCell="1" allowOverlap="1" wp14:anchorId="7F6CA532" wp14:editId="16CD2C98">
            <wp:simplePos x="0" y="0"/>
            <wp:positionH relativeFrom="margin">
              <wp:posOffset>3612515</wp:posOffset>
            </wp:positionH>
            <wp:positionV relativeFrom="margin">
              <wp:align>top</wp:align>
            </wp:positionV>
            <wp:extent cx="1492250" cy="441960"/>
            <wp:effectExtent l="0" t="0" r="0" b="0"/>
            <wp:wrapSquare wrapText="bothSides"/>
            <wp:docPr id="118043537" name="Picture 1" descr="Logo, Union mondiale des 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3537" name="Picture 1" descr="Logo, World Blind Union&#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8436" cy="444344"/>
                    </a:xfrm>
                    <a:prstGeom prst="rect">
                      <a:avLst/>
                    </a:prstGeom>
                  </pic:spPr>
                </pic:pic>
              </a:graphicData>
            </a:graphic>
            <wp14:sizeRelH relativeFrom="margin">
              <wp14:pctWidth>0</wp14:pctWidth>
            </wp14:sizeRelH>
            <wp14:sizeRelV relativeFrom="margin">
              <wp14:pctHeight>0</wp14:pctHeight>
            </wp14:sizeRelV>
          </wp:anchor>
        </w:drawing>
      </w:r>
      <w:r w:rsidR="009C7B47">
        <w:rPr>
          <w:noProof/>
        </w:rPr>
        <w:drawing>
          <wp:anchor distT="0" distB="0" distL="114300" distR="114300" simplePos="0" relativeHeight="251659264" behindDoc="0" locked="0" layoutInCell="1" allowOverlap="1" wp14:anchorId="1E1DA934" wp14:editId="02F5F3D0">
            <wp:simplePos x="0" y="0"/>
            <wp:positionH relativeFrom="margin">
              <wp:posOffset>1333500</wp:posOffset>
            </wp:positionH>
            <wp:positionV relativeFrom="margin">
              <wp:align>top</wp:align>
            </wp:positionV>
            <wp:extent cx="1092200" cy="443865"/>
            <wp:effectExtent l="0" t="0" r="0" b="0"/>
            <wp:wrapSquare wrapText="bothSides"/>
            <wp:docPr id="1454851383" name="Picture 2" descr="Logo, Conseil international pour l'éducation des personnes malvoyantes (IC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ternational Council for Education of People with Visual Impairment (ICEV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475" cy="4494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2678A" w14:textId="665A3795" w:rsidR="009C7B47" w:rsidRDefault="009C7B47" w:rsidP="00F76146">
      <w:pPr>
        <w:pStyle w:val="Title"/>
        <w:rPr>
          <w:rFonts w:ascii="Arial" w:hAnsi="Arial" w:cs="Arial"/>
          <w:b w:val="0"/>
          <w:bCs/>
          <w:sz w:val="22"/>
          <w:szCs w:val="22"/>
        </w:rPr>
      </w:pPr>
    </w:p>
    <w:p w14:paraId="31320D2B" w14:textId="54878A94" w:rsidR="00EA0B4F" w:rsidRPr="003846C6" w:rsidRDefault="00EA0B4F" w:rsidP="00521316">
      <w:pPr>
        <w:pStyle w:val="Title"/>
        <w:rPr>
          <w:b w:val="0"/>
        </w:rPr>
      </w:pPr>
      <w:r w:rsidRPr="003846C6">
        <w:t xml:space="preserve">Déclaration mondiale sur la littératie en braille dans l'éducation </w:t>
      </w:r>
    </w:p>
    <w:p w14:paraId="58601F1C" w14:textId="6665F49C" w:rsidR="00527AD6" w:rsidRDefault="00EA0B4F" w:rsidP="006B7057">
      <w:r w:rsidRPr="00EA0B4F">
        <w:rPr>
          <w:rFonts w:cs="Arial"/>
        </w:rPr>
        <w:t xml:space="preserve">Nous, les représentants soussignés, organisations et défenseurs, présentons cette Déclaration à l'attention des ministres, ambassadeurs, responsables gouvernementaux, partenaires de développement, autorités éducatives et autres parties prenantes concernées à travers le monde. </w:t>
      </w:r>
      <w:r w:rsidRPr="00834C94">
        <w:t>Nous le faisons en étant convaincus que garantir l'accès à l'enseignement et à l'apprentissage de la littératie braille est une obligation en droit international des droits de l'homme et un investissement stratégique dans le capital humain de chaque nation.</w:t>
      </w:r>
    </w:p>
    <w:p w14:paraId="4C628D3A" w14:textId="0D098E5A" w:rsidR="00EA0B4F" w:rsidRPr="003846C6" w:rsidRDefault="00EA0B4F" w:rsidP="00521316">
      <w:pPr>
        <w:pStyle w:val="Heading2"/>
      </w:pPr>
      <w:r w:rsidRPr="003846C6">
        <w:t>Fondation juridique</w:t>
      </w:r>
    </w:p>
    <w:p w14:paraId="0956B184" w14:textId="734834E8" w:rsidR="0019112D" w:rsidRPr="0019112D" w:rsidRDefault="0019112D" w:rsidP="0019112D">
      <w:pPr>
        <w:rPr>
          <w:lang w:val="en-AU"/>
        </w:rPr>
      </w:pPr>
      <w:r w:rsidRPr="0019112D">
        <w:t>Cette Déclaration est fondée sur la Convention des Nations Unies relative aux droits des personnes handicapées (DRPC). La CRPD présente le braille comme essentiel à la pleine réalisation des droits humains pour les personnes aveugles, sourd-aveugles ou malvoyantes, garantissant ainsi l'accès à l'information tant dans les sphères publique que privée. Nous portons une attention particulière sur l'article 9 (Accessibilité), l'article 21 (liberté d'expression et d'opinion, et l'accès à l'information) et l'article 24 (éducation). L'accès au braille, en tant que principal moyen d'alphabétisation pour les personnes aveugles, constitue un élément essentiel de ces obligations.</w:t>
      </w:r>
    </w:p>
    <w:p w14:paraId="5DE4C56E" w14:textId="77777777" w:rsidR="0019112D" w:rsidRPr="0019112D" w:rsidRDefault="0019112D" w:rsidP="0019112D">
      <w:pPr>
        <w:rPr>
          <w:lang w:val="en-AU"/>
        </w:rPr>
      </w:pPr>
      <w:r w:rsidRPr="0019112D">
        <w:t>La littératie en braille est également essentielle à la réalisation des Objectifs de développement durable, en particulier l'ODD 4 (Éducation de qualité), l'ODD 8 (Travail décent et croissance économique), l'ODD 10 (Réduction des inégalités) et l'ODD 17 (Partenariats pour les objectifs). Faire progresser la littératie braille est donc à la fois une obligation en matière de droits humains et une priorité de développement.</w:t>
      </w:r>
    </w:p>
    <w:p w14:paraId="6B2DF8CF" w14:textId="066F735E" w:rsidR="00EA0B4F" w:rsidRPr="003846C6" w:rsidRDefault="00EA0B4F" w:rsidP="00BD58A0">
      <w:pPr>
        <w:pStyle w:val="Heading2"/>
      </w:pPr>
      <w:r w:rsidRPr="003846C6">
        <w:t>La signification durable du braille</w:t>
      </w:r>
    </w:p>
    <w:p w14:paraId="5DAF02A7" w14:textId="43F337F4" w:rsidR="00EA0B4F" w:rsidRPr="00EA0B4F" w:rsidRDefault="00EA0B4F" w:rsidP="00E64673">
      <w:r w:rsidRPr="00EA0B4F">
        <w:t>Depuis plus de deux siècles, le braille a servi de système fondamental permettant aux personnes aveugles d'accéder à la langue écrite, de participer à l'éducation et de s'engager dans la vie civique et professionnelle. De manière essentielle, le braille favorise l'indépendance en permettant aux individus de lire et d'écrire de manière autonome, améliorant ainsi leur confiance en soi, leur autodétermination et leur qualité de vie globale.</w:t>
      </w:r>
    </w:p>
    <w:p w14:paraId="1E059869" w14:textId="2FF56E42" w:rsidR="00EA0B4F" w:rsidRPr="00EA0B4F" w:rsidRDefault="00EA0B4F" w:rsidP="00521316">
      <w:r w:rsidRPr="00EA0B4F">
        <w:t>Il est reconnu qu'il existe une gamme de modalités complémentaires pour les personnes aveugles ou malvoyantes, notamment la technologie de synthèse vocale et les livres audio narrés. Ces modalités jouent un rôle important. Cependant, ce sont des compléments au braille, pas des substituts. Écouter du contenu parlé ne confère pas les mêmes compétences linguistiques, cognitives ou académiques. L'importance du braille, loin d'être diminuée par l'ère numérique, a été renforcée par celui-ci.</w:t>
      </w:r>
    </w:p>
    <w:p w14:paraId="61CC0A76" w14:textId="254CC69C" w:rsidR="00EA0B4F" w:rsidRPr="003846C6" w:rsidRDefault="00EA0B4F" w:rsidP="00BD58A0">
      <w:pPr>
        <w:pStyle w:val="Heading2"/>
      </w:pPr>
      <w:r w:rsidRPr="003846C6">
        <w:t>La base de preuves : alphabétisation, emploi et potentiel humain</w:t>
      </w:r>
    </w:p>
    <w:p w14:paraId="613025F9" w14:textId="7469F2B0" w:rsidR="00EA0B4F" w:rsidRPr="00EA0B4F" w:rsidRDefault="00EA0B4F" w:rsidP="00521316">
      <w:r w:rsidRPr="00EA0B4F">
        <w:t>L'argument en faveur du braille ne repose pas uniquement sur la tradition. Elle est soutenue par un corpus de recherches important et croissant. Les recherches démontrent systématiquement que les personnes aveugles et alphabétisées au braille atteignent des niveaux d'éducation significativement supérieurs, des taux d'emploi plus élevés et des revenus plus élevés que les personnes aveugles ne lisent pas le braille (Bell &amp; Mino, 2015 ; McDonnall et al., 2025 ; Ryles, 1996). Ces différences représentent un retour sur investissement public mesurable dans l'éducation inclusive et un indicateur mesurable du coût de son absence.</w:t>
      </w:r>
    </w:p>
    <w:p w14:paraId="0F2DBAC5" w14:textId="3DF63712" w:rsidR="00EA0B4F" w:rsidRPr="00EA0B4F" w:rsidRDefault="00521316" w:rsidP="00527AD6">
      <w:pPr>
        <w:rPr>
          <w:rFonts w:cs="Arial"/>
        </w:rPr>
      </w:pPr>
      <w:r>
        <w:rPr>
          <w:rFonts w:cs="Arial"/>
        </w:rPr>
        <w:t>Le braille offre aux apprenants un accès direct et non médié à l'orthographe, à la ponctuation, à la structure grammaticale, à la notation mathématique, aux symboles scientifiques et à la notation musicale. Ce sont des compétences que les alternatives audiovisuelles ne peuvent pas reproduire avec une profondeur ou une précision équivalentes (Clark, 2014 ; Tobin &amp; Hill, 2015). Ils constituent les compétences fondamentales en littératie sur lesquelles reposent toutes les réussites académiques et les capacités professionnelles ultérieures (Emerson et al., 2009). Les enfants aveugles et qui n'ont pas accès au braille sont, en réalité, sans accès aux outils fondamentaux de la littératie.</w:t>
      </w:r>
    </w:p>
    <w:p w14:paraId="0E636FB7" w14:textId="3A7AE58C" w:rsidR="00F76146" w:rsidRPr="00BD58A0" w:rsidRDefault="00EA0B4F" w:rsidP="00521316">
      <w:r w:rsidRPr="00EA0B4F">
        <w:lastRenderedPageBreak/>
        <w:t xml:space="preserve">Contrairement aux hypothèses selon lesquelles la technologie numérique rendrait le braille obsolète, les preuves vont dans la direction opposée. La maîtrise des technologies d'assistance est positivement associée à une meilleure capacité de lecture en braille (McDonnall et al., 2025). De plus, des outils technologiques conçus sur le plan voulu, y compris les prises de notes en braille et les applications dédiées à la pratique du braille, ont démontré qu'ils améliorent les résultats en littératie braille (Hoskin et al., 2022). </w:t>
      </w:r>
    </w:p>
    <w:p w14:paraId="6D6D02B8" w14:textId="7CA98515" w:rsidR="00EA0B4F" w:rsidRPr="003846C6" w:rsidRDefault="00EA0B4F" w:rsidP="00521316">
      <w:pPr>
        <w:pStyle w:val="Heading2"/>
      </w:pPr>
      <w:r w:rsidRPr="00521316">
        <w:t>Affirmations</w:t>
      </w:r>
    </w:p>
    <w:p w14:paraId="0A0E4F13" w14:textId="77777777" w:rsidR="00EA0B4F" w:rsidRPr="00EA0B4F" w:rsidRDefault="00EA0B4F" w:rsidP="0018152D">
      <w:pPr>
        <w:spacing w:line="240" w:lineRule="auto"/>
        <w:contextualSpacing/>
        <w:rPr>
          <w:rFonts w:cs="Arial"/>
        </w:rPr>
      </w:pPr>
      <w:r w:rsidRPr="00EA0B4F">
        <w:rPr>
          <w:rFonts w:cs="Arial"/>
        </w:rPr>
        <w:t>Nous, les soussignés, affirmons les principes suivants et appelons tous les États et institutions à les reconnaître et à les défendre :</w:t>
      </w:r>
    </w:p>
    <w:p w14:paraId="61FC33B0" w14:textId="58E2F9C3" w:rsidR="00EA0B4F" w:rsidRPr="00BD58A0" w:rsidRDefault="00EA0B4F" w:rsidP="0018152D">
      <w:pPr>
        <w:pStyle w:val="ListParagraph"/>
        <w:numPr>
          <w:ilvl w:val="0"/>
          <w:numId w:val="25"/>
        </w:numPr>
        <w:contextualSpacing/>
        <w:rPr>
          <w:rFonts w:cs="Arial"/>
        </w:rPr>
      </w:pPr>
      <w:r w:rsidRPr="00BD58A0">
        <w:rPr>
          <w:rFonts w:cs="Arial"/>
        </w:rPr>
        <w:t>Tout enfant aveugle a le droit d'apprendre le braille ;</w:t>
      </w:r>
    </w:p>
    <w:p w14:paraId="3C65BB3C" w14:textId="5B3A0EFA" w:rsidR="00144439" w:rsidRPr="00BD58A0" w:rsidRDefault="00EA0B4F" w:rsidP="0018152D">
      <w:pPr>
        <w:pStyle w:val="ListParagraph"/>
        <w:numPr>
          <w:ilvl w:val="0"/>
          <w:numId w:val="25"/>
        </w:numPr>
        <w:ind w:left="714" w:hanging="357"/>
        <w:contextualSpacing/>
        <w:rPr>
          <w:rFonts w:cs="Arial"/>
        </w:rPr>
      </w:pPr>
      <w:r w:rsidRPr="00BD58A0">
        <w:rPr>
          <w:rFonts w:cs="Arial"/>
        </w:rPr>
        <w:t>L'accès précoce au braille est essentiel, car l'acquisition des compétences fondamentales en lecture braille durant l'enfance détermine fortement l'apprentissage tout au long de la vie, l'emploi et la participation sociale ;</w:t>
      </w:r>
    </w:p>
    <w:p w14:paraId="181060DE" w14:textId="6051F96E" w:rsidR="00EA0B4F" w:rsidRPr="00BD58A0" w:rsidRDefault="00BD58A0" w:rsidP="0018152D">
      <w:pPr>
        <w:pStyle w:val="ListParagraph"/>
        <w:numPr>
          <w:ilvl w:val="0"/>
          <w:numId w:val="25"/>
        </w:numPr>
        <w:contextualSpacing/>
        <w:rPr>
          <w:rFonts w:cs="Arial"/>
        </w:rPr>
      </w:pPr>
      <w:r>
        <w:rPr>
          <w:rFonts w:cs="Arial"/>
        </w:rPr>
        <w:t>Les technologies braille et numérique se renforcent mutuellement et doivent être déployées de manière stratégiquement cohérente.  Le progrès numérique et la littératie braille sont complémentaires, et non des priorités concurrentes ; et</w:t>
      </w:r>
    </w:p>
    <w:p w14:paraId="690B1866" w14:textId="1D53F957" w:rsidR="00EA0B4F" w:rsidRPr="00BD58A0" w:rsidRDefault="00EA0B4F" w:rsidP="0018152D">
      <w:pPr>
        <w:pStyle w:val="ListParagraph"/>
        <w:numPr>
          <w:ilvl w:val="0"/>
          <w:numId w:val="25"/>
        </w:numPr>
        <w:contextualSpacing/>
        <w:rPr>
          <w:rFonts w:cs="Arial"/>
        </w:rPr>
      </w:pPr>
      <w:r w:rsidRPr="00BD58A0">
        <w:rPr>
          <w:rFonts w:cs="Arial"/>
        </w:rPr>
        <w:t>Les familles doivent être informées de manière exhaustive de l'importance de la littératie braille et avoir un rôle significatif dans la planification et la prestation de l'éducation de leur enfant.</w:t>
      </w:r>
    </w:p>
    <w:p w14:paraId="69B3F09F" w14:textId="21EADACB" w:rsidR="00EA0B4F" w:rsidRPr="003846C6" w:rsidRDefault="00EA0B4F" w:rsidP="00521316">
      <w:pPr>
        <w:pStyle w:val="Heading2"/>
      </w:pPr>
      <w:r w:rsidRPr="003846C6">
        <w:t>Appel à l'action</w:t>
      </w:r>
    </w:p>
    <w:p w14:paraId="3722EF5C" w14:textId="77777777" w:rsidR="00EA0B4F" w:rsidRPr="00EA0B4F" w:rsidRDefault="00EA0B4F" w:rsidP="0018152D">
      <w:pPr>
        <w:spacing w:line="240" w:lineRule="auto"/>
        <w:rPr>
          <w:rFonts w:cs="Arial"/>
        </w:rPr>
      </w:pPr>
      <w:r w:rsidRPr="00EA0B4F">
        <w:rPr>
          <w:rFonts w:cs="Arial"/>
        </w:rPr>
        <w:t>Nous appelons respectueusement les gouvernements, les ministères de l'Éducation, les organes législatifs et toutes les parties prenantes concernées à prendre les engagements suivants :</w:t>
      </w:r>
    </w:p>
    <w:p w14:paraId="52456FF7" w14:textId="1FB46EF3" w:rsidR="00EA0B4F" w:rsidRPr="00BD58A0" w:rsidRDefault="00EA0B4F" w:rsidP="0018152D">
      <w:pPr>
        <w:pStyle w:val="ListParagraph"/>
        <w:numPr>
          <w:ilvl w:val="0"/>
          <w:numId w:val="26"/>
        </w:numPr>
        <w:ind w:left="714" w:hanging="357"/>
        <w:rPr>
          <w:rFonts w:cs="Arial"/>
        </w:rPr>
      </w:pPr>
      <w:r w:rsidRPr="00BD58A0">
        <w:rPr>
          <w:rFonts w:cs="Arial"/>
        </w:rPr>
        <w:t>Consacrer la littératie braille dans la législation et les cadres politiques nationaux de l'éducation, en accord avec les obligations du CRPD;</w:t>
      </w:r>
    </w:p>
    <w:p w14:paraId="4CE544E0" w14:textId="497B4EB8" w:rsidR="00EA0B4F" w:rsidRPr="00834C94" w:rsidRDefault="00EA0B4F" w:rsidP="0018152D">
      <w:pPr>
        <w:pStyle w:val="ListParagraph"/>
        <w:numPr>
          <w:ilvl w:val="0"/>
          <w:numId w:val="26"/>
        </w:numPr>
        <w:rPr>
          <w:rFonts w:cs="Arial"/>
        </w:rPr>
      </w:pPr>
      <w:r w:rsidRPr="00834C94">
        <w:rPr>
          <w:rFonts w:cs="Arial"/>
        </w:rPr>
        <w:t>Garantir un accès équitable à des enseignants spécialisés qualifiés et correctement formés, des supports pédagogiques fondés sur des preuves comprenant des manuels en braille, des graphiques tactiles et d'autres ressources en braille dans les langues nationales, livrés en temps voulu, ainsi que des technologies d'assistance actuelles pour tous les apprenants aveugles ;</w:t>
      </w:r>
    </w:p>
    <w:p w14:paraId="12901FAB" w14:textId="35307BF7" w:rsidR="00EA0B4F" w:rsidRPr="00BD58A0" w:rsidRDefault="00EA0B4F" w:rsidP="0018152D">
      <w:pPr>
        <w:pStyle w:val="ListParagraph"/>
        <w:numPr>
          <w:ilvl w:val="0"/>
          <w:numId w:val="26"/>
        </w:numPr>
        <w:rPr>
          <w:rFonts w:cs="Arial"/>
        </w:rPr>
      </w:pPr>
      <w:r w:rsidRPr="00BD58A0">
        <w:rPr>
          <w:rFonts w:cs="Arial"/>
        </w:rPr>
        <w:t>Mettre en place des processus systématiques et transparents pour l'évaluation rapide des besoins en littératie braille et la prestation d'un enseignement structuré et de haute qualité du braille à toutes les phases de l'éducation ;</w:t>
      </w:r>
    </w:p>
    <w:p w14:paraId="3E1B91E0" w14:textId="5F85AFEB" w:rsidR="00EA0B4F" w:rsidRPr="00623E07" w:rsidRDefault="00EA0B4F" w:rsidP="0018152D">
      <w:pPr>
        <w:pStyle w:val="ListParagraph"/>
        <w:numPr>
          <w:ilvl w:val="0"/>
          <w:numId w:val="26"/>
        </w:numPr>
      </w:pPr>
      <w:r w:rsidRPr="00623E07">
        <w:t>Veiller à ce qu'aucun élève nécessitant le braille ne soit privé d'accès en raison de contraintes de ressources, de localisation géographique, de capacité institutionnelle ou d'autres obstacles relevant de l'État à traiter, et que les apprenants aveugles puissent accéder, étudier et s'engager sur un pied d'égalité avec le même programme, les mêmes devoirs et évaluations que leurs pairs voyants ;</w:t>
      </w:r>
    </w:p>
    <w:p w14:paraId="2D7FB0E4" w14:textId="359472B9" w:rsidR="00EA0B4F" w:rsidRDefault="00EA0B4F" w:rsidP="0018152D">
      <w:pPr>
        <w:pStyle w:val="ListParagraph"/>
        <w:numPr>
          <w:ilvl w:val="0"/>
          <w:numId w:val="26"/>
        </w:numPr>
        <w:rPr>
          <w:rFonts w:cs="Arial"/>
        </w:rPr>
      </w:pPr>
      <w:r w:rsidRPr="00BD58A0">
        <w:rPr>
          <w:rFonts w:cs="Arial"/>
        </w:rPr>
        <w:t>Allouer un investissement public soutenu et suffisant dans les infrastructures nationales, la main-d'œuvre professionnelle et les systèmes institutionnels nécessaires pour soutenir la littératie braille à grande échelle.</w:t>
      </w:r>
    </w:p>
    <w:p w14:paraId="758E4AE2" w14:textId="2F0F8A18" w:rsidR="00BF7C34" w:rsidRPr="00BD58A0" w:rsidRDefault="00BF7C34" w:rsidP="0018152D">
      <w:pPr>
        <w:pStyle w:val="ListParagraph"/>
        <w:numPr>
          <w:ilvl w:val="0"/>
          <w:numId w:val="26"/>
        </w:numPr>
        <w:rPr>
          <w:rFonts w:cs="Arial"/>
        </w:rPr>
      </w:pPr>
      <w:r w:rsidRPr="00BF7C34">
        <w:rPr>
          <w:rFonts w:cs="Arial"/>
        </w:rPr>
        <w:t>Promouvoir la coopération internationale et les partenariats pour renforcer les systèmes de littératie en braille et élargir l'accès équitable à l'éducation et aux ressources en braille à l'échelle mondiale.</w:t>
      </w:r>
    </w:p>
    <w:p w14:paraId="18D6DBFE" w14:textId="6337B6F5" w:rsidR="00EA0B4F" w:rsidRPr="00EA0B4F" w:rsidRDefault="00EA0B4F" w:rsidP="00527AD6">
      <w:pPr>
        <w:rPr>
          <w:rFonts w:cs="Arial"/>
        </w:rPr>
      </w:pPr>
      <w:r w:rsidRPr="00EA0B4F">
        <w:rPr>
          <w:rFonts w:cs="Arial"/>
        </w:rPr>
        <w:t>L'investissement dans la littératie braille est, en fin de compte, un investissement dans l'épanouissement humain, un investissement dont les rendements dépassent l'individu pour bénéficier aux familles, aux communautés et aux nations dans leur ensemble.</w:t>
      </w:r>
    </w:p>
    <w:p w14:paraId="3E65FA9E" w14:textId="77777777" w:rsidR="00C973B4" w:rsidRDefault="00C973B4" w:rsidP="00640DE8">
      <w:pPr>
        <w:contextualSpacing/>
        <w:rPr>
          <w:i/>
          <w:iCs/>
        </w:rPr>
      </w:pPr>
      <w:r w:rsidRPr="00C973B4">
        <w:rPr>
          <w:i/>
          <w:iCs/>
        </w:rPr>
        <w:t>Émis par le Conseil international pour l'éducation des personnes malvoyantes et l'Union mondiale des aveugles, et approuvé par les organisations et défenseurs soussignés engagés en faveur de la réalisation universelle de la littératie braille.</w:t>
      </w:r>
    </w:p>
    <w:p w14:paraId="4F156229" w14:textId="2E77A0F1" w:rsidR="00640DE8" w:rsidRPr="0052302E" w:rsidRDefault="00640DE8" w:rsidP="00640DE8">
      <w:pPr>
        <w:contextualSpacing/>
        <w:rPr>
          <w:b/>
          <w:bCs/>
        </w:rPr>
      </w:pPr>
      <w:r w:rsidRPr="0052302E">
        <w:rPr>
          <w:b/>
          <w:bCs/>
        </w:rPr>
        <w:t xml:space="preserve">Publié par : </w:t>
      </w:r>
    </w:p>
    <w:p w14:paraId="42F94C46" w14:textId="77777777" w:rsidR="007D43EC" w:rsidRDefault="00640DE8" w:rsidP="007D43EC">
      <w:pPr>
        <w:contextualSpacing/>
      </w:pPr>
      <w:r w:rsidRPr="00F729ED">
        <w:t xml:space="preserve">S.K. Rungta, président de l'Union Mondiale des Aveugles (WBU), et </w:t>
      </w:r>
    </w:p>
    <w:p w14:paraId="1447E9FC" w14:textId="04FEEDE6" w:rsidR="00640DE8" w:rsidRDefault="00640DE8" w:rsidP="00640DE8">
      <w:r w:rsidRPr="00F729ED">
        <w:t xml:space="preserve">Susan LaVenture, Présidente, Conseil international pour l'éducation des personnes malvoyantes (ICEVI) </w:t>
      </w:r>
    </w:p>
    <w:p w14:paraId="313EE860" w14:textId="16ABAD5B" w:rsidR="00C973B4" w:rsidRPr="00C973B4" w:rsidRDefault="00C973B4" w:rsidP="00640DE8">
      <w:pPr>
        <w:rPr>
          <w:i/>
          <w:iCs/>
        </w:rPr>
      </w:pPr>
      <w:r w:rsidRPr="00C973B4">
        <w:rPr>
          <w:i/>
          <w:iCs/>
        </w:rPr>
        <w:t>Publié lors de la dix-neuvième session de la Conférence des États parties à la Convention relative aux droits des personnes handicapées (COSP19), New York, 12 juin 2026.</w:t>
      </w:r>
    </w:p>
    <w:p w14:paraId="280959A0" w14:textId="42DB8AFA" w:rsidR="00640DE8" w:rsidRPr="0052302E" w:rsidRDefault="00640DE8" w:rsidP="00640DE8">
      <w:pPr>
        <w:contextualSpacing/>
        <w:rPr>
          <w:b/>
          <w:bCs/>
        </w:rPr>
      </w:pPr>
      <w:r w:rsidRPr="0052302E">
        <w:rPr>
          <w:b/>
          <w:bCs/>
        </w:rPr>
        <w:lastRenderedPageBreak/>
        <w:t xml:space="preserve">Approuvé par : </w:t>
      </w:r>
    </w:p>
    <w:p w14:paraId="073FB025" w14:textId="3735676A" w:rsidR="008A3958" w:rsidRPr="00F56D1D" w:rsidRDefault="00640DE8" w:rsidP="00527AD6">
      <w:r w:rsidRPr="00F729ED">
        <w:t>Autorité du Braille de la langue néerlandaise, Fondation Brailliste, Braille House, Institut Braille, Centre Clovernook pour les Aveugles et Malvoyants, CNIB, Consortium DAISY, Dot Inc., Union estonienne des aveugles, Union européenne des aveugles, Groupe de travail EBU sur le Braille, Fédération allemande des aveugles et malvoyants, Humanware, Conseil international du Braille anglais, Overbrook School for the Blind,</w:t>
      </w:r>
      <w:r w:rsidR="00E60BC9">
        <w:t xml:space="preserve"> RNIB,</w:t>
      </w:r>
      <w:r w:rsidRPr="00F729ED">
        <w:t xml:space="preserve"> SEAMEO SEN,  Union slovaque, des Cégants et Voyants Slovaques, des Éducateurs du Pacifique Sud en Troubles de la Vision et de l'Association des Aveugles du Vietnam.</w:t>
      </w:r>
    </w:p>
    <w:sectPr w:rsidR="008A3958" w:rsidRPr="00F56D1D" w:rsidSect="009C7B47">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8EAB" w14:textId="77777777" w:rsidR="00DC7B42" w:rsidRDefault="00DC7B42" w:rsidP="006312A7">
      <w:pPr>
        <w:spacing w:after="0"/>
      </w:pPr>
      <w:r>
        <w:separator/>
      </w:r>
    </w:p>
  </w:endnote>
  <w:endnote w:type="continuationSeparator" w:id="0">
    <w:p w14:paraId="63BB8587" w14:textId="77777777" w:rsidR="00DC7B42" w:rsidRDefault="00DC7B42"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altName w:val="Calibri"/>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CB96" w14:textId="77777777" w:rsidR="00DC7B42" w:rsidRDefault="00DC7B42" w:rsidP="006312A7">
      <w:pPr>
        <w:spacing w:after="0"/>
      </w:pPr>
      <w:r>
        <w:separator/>
      </w:r>
    </w:p>
  </w:footnote>
  <w:footnote w:type="continuationSeparator" w:id="0">
    <w:p w14:paraId="48DAB811" w14:textId="77777777" w:rsidR="00DC7B42" w:rsidRDefault="00DC7B42"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13266E2"/>
    <w:multiLevelType w:val="hybridMultilevel"/>
    <w:tmpl w:val="68E45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947C5"/>
    <w:multiLevelType w:val="hybridMultilevel"/>
    <w:tmpl w:val="41EC5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57FD3"/>
    <w:multiLevelType w:val="multilevel"/>
    <w:tmpl w:val="4E80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85E4D"/>
    <w:multiLevelType w:val="hybridMultilevel"/>
    <w:tmpl w:val="D5BC4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503828"/>
    <w:multiLevelType w:val="multilevel"/>
    <w:tmpl w:val="7A58E1A2"/>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F787DE1"/>
    <w:multiLevelType w:val="multilevel"/>
    <w:tmpl w:val="C344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B3F23"/>
    <w:multiLevelType w:val="hybridMultilevel"/>
    <w:tmpl w:val="A724A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E2807"/>
    <w:multiLevelType w:val="multilevel"/>
    <w:tmpl w:val="8D9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125B9"/>
    <w:multiLevelType w:val="multilevel"/>
    <w:tmpl w:val="D02CB9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EA136E"/>
    <w:multiLevelType w:val="multilevel"/>
    <w:tmpl w:val="1832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26"/>
  </w:num>
  <w:num w:numId="12" w16cid:durableId="202795967">
    <w:abstractNumId w:val="19"/>
  </w:num>
  <w:num w:numId="13" w16cid:durableId="1947343053">
    <w:abstractNumId w:val="12"/>
  </w:num>
  <w:num w:numId="14" w16cid:durableId="342900915">
    <w:abstractNumId w:val="21"/>
  </w:num>
  <w:num w:numId="15" w16cid:durableId="1455171063">
    <w:abstractNumId w:val="11"/>
  </w:num>
  <w:num w:numId="16" w16cid:durableId="1305965883">
    <w:abstractNumId w:val="15"/>
  </w:num>
  <w:num w:numId="17" w16cid:durableId="959340432">
    <w:abstractNumId w:val="23"/>
  </w:num>
  <w:num w:numId="18" w16cid:durableId="1665159429">
    <w:abstractNumId w:val="25"/>
  </w:num>
  <w:num w:numId="19" w16cid:durableId="1164473600">
    <w:abstractNumId w:val="27"/>
  </w:num>
  <w:num w:numId="20" w16cid:durableId="127407317">
    <w:abstractNumId w:val="18"/>
  </w:num>
  <w:num w:numId="21" w16cid:durableId="1415514947">
    <w:abstractNumId w:val="24"/>
  </w:num>
  <w:num w:numId="22" w16cid:durableId="933634774">
    <w:abstractNumId w:val="17"/>
  </w:num>
  <w:num w:numId="23" w16cid:durableId="2054452837">
    <w:abstractNumId w:val="14"/>
  </w:num>
  <w:num w:numId="24" w16cid:durableId="956255404">
    <w:abstractNumId w:val="13"/>
  </w:num>
  <w:num w:numId="25" w16cid:durableId="997928809">
    <w:abstractNumId w:val="10"/>
  </w:num>
  <w:num w:numId="26" w16cid:durableId="452405215">
    <w:abstractNumId w:val="20"/>
  </w:num>
  <w:num w:numId="27" w16cid:durableId="1370185424">
    <w:abstractNumId w:val="22"/>
  </w:num>
  <w:num w:numId="28" w16cid:durableId="734939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4F"/>
    <w:rsid w:val="000150BA"/>
    <w:rsid w:val="00016592"/>
    <w:rsid w:val="00036E2A"/>
    <w:rsid w:val="00037BB4"/>
    <w:rsid w:val="000400D7"/>
    <w:rsid w:val="00046389"/>
    <w:rsid w:val="00060929"/>
    <w:rsid w:val="00072B7B"/>
    <w:rsid w:val="00076BCF"/>
    <w:rsid w:val="000803BD"/>
    <w:rsid w:val="00091D68"/>
    <w:rsid w:val="000B132E"/>
    <w:rsid w:val="000B3E06"/>
    <w:rsid w:val="000C3F5D"/>
    <w:rsid w:val="000D4E40"/>
    <w:rsid w:val="000D55DE"/>
    <w:rsid w:val="000D6DED"/>
    <w:rsid w:val="00120F51"/>
    <w:rsid w:val="00130096"/>
    <w:rsid w:val="00136212"/>
    <w:rsid w:val="00144439"/>
    <w:rsid w:val="0016448E"/>
    <w:rsid w:val="0018152D"/>
    <w:rsid w:val="00187C42"/>
    <w:rsid w:val="0019112D"/>
    <w:rsid w:val="001F2C42"/>
    <w:rsid w:val="00233291"/>
    <w:rsid w:val="00256A30"/>
    <w:rsid w:val="0026316E"/>
    <w:rsid w:val="002A1619"/>
    <w:rsid w:val="002A404A"/>
    <w:rsid w:val="002F027C"/>
    <w:rsid w:val="00332031"/>
    <w:rsid w:val="00350C91"/>
    <w:rsid w:val="003511B7"/>
    <w:rsid w:val="003846C6"/>
    <w:rsid w:val="00395B74"/>
    <w:rsid w:val="003A0F20"/>
    <w:rsid w:val="003A3291"/>
    <w:rsid w:val="003A7D16"/>
    <w:rsid w:val="003B13A8"/>
    <w:rsid w:val="003B6176"/>
    <w:rsid w:val="003D0444"/>
    <w:rsid w:val="003F73AA"/>
    <w:rsid w:val="00411AC0"/>
    <w:rsid w:val="00442D6D"/>
    <w:rsid w:val="0046696E"/>
    <w:rsid w:val="004929BB"/>
    <w:rsid w:val="004961E0"/>
    <w:rsid w:val="004A08D9"/>
    <w:rsid w:val="004A16DD"/>
    <w:rsid w:val="004A5426"/>
    <w:rsid w:val="004A6D34"/>
    <w:rsid w:val="004B34B2"/>
    <w:rsid w:val="004B3B10"/>
    <w:rsid w:val="004E3A4B"/>
    <w:rsid w:val="004E40CC"/>
    <w:rsid w:val="0051073E"/>
    <w:rsid w:val="00513D8D"/>
    <w:rsid w:val="00521316"/>
    <w:rsid w:val="0052302E"/>
    <w:rsid w:val="00527AD6"/>
    <w:rsid w:val="00536EA3"/>
    <w:rsid w:val="00537E33"/>
    <w:rsid w:val="0054760C"/>
    <w:rsid w:val="005635FB"/>
    <w:rsid w:val="005862F8"/>
    <w:rsid w:val="00593E22"/>
    <w:rsid w:val="00597932"/>
    <w:rsid w:val="005A3C79"/>
    <w:rsid w:val="005A41DE"/>
    <w:rsid w:val="005B4D33"/>
    <w:rsid w:val="005E7797"/>
    <w:rsid w:val="005F1427"/>
    <w:rsid w:val="00623E07"/>
    <w:rsid w:val="006312A7"/>
    <w:rsid w:val="00640DE8"/>
    <w:rsid w:val="006419E1"/>
    <w:rsid w:val="006436B2"/>
    <w:rsid w:val="006577BF"/>
    <w:rsid w:val="006626D7"/>
    <w:rsid w:val="0066343D"/>
    <w:rsid w:val="006778D3"/>
    <w:rsid w:val="006A4ACD"/>
    <w:rsid w:val="006B7057"/>
    <w:rsid w:val="006D080A"/>
    <w:rsid w:val="006D7303"/>
    <w:rsid w:val="006F2571"/>
    <w:rsid w:val="00711E5C"/>
    <w:rsid w:val="007138E4"/>
    <w:rsid w:val="00715543"/>
    <w:rsid w:val="007244A9"/>
    <w:rsid w:val="007264DE"/>
    <w:rsid w:val="007273CE"/>
    <w:rsid w:val="00727942"/>
    <w:rsid w:val="00741527"/>
    <w:rsid w:val="00752ECA"/>
    <w:rsid w:val="00771D7D"/>
    <w:rsid w:val="0078495A"/>
    <w:rsid w:val="007A6D98"/>
    <w:rsid w:val="007D43EC"/>
    <w:rsid w:val="00803C4C"/>
    <w:rsid w:val="00834C94"/>
    <w:rsid w:val="00871F20"/>
    <w:rsid w:val="00875EA4"/>
    <w:rsid w:val="00885D18"/>
    <w:rsid w:val="008870AE"/>
    <w:rsid w:val="00896DE5"/>
    <w:rsid w:val="008A3958"/>
    <w:rsid w:val="008A7AFF"/>
    <w:rsid w:val="008B42B0"/>
    <w:rsid w:val="008B6A04"/>
    <w:rsid w:val="008F289A"/>
    <w:rsid w:val="008F3FEA"/>
    <w:rsid w:val="008F6B23"/>
    <w:rsid w:val="00903ACC"/>
    <w:rsid w:val="00930E0B"/>
    <w:rsid w:val="00946BA5"/>
    <w:rsid w:val="00966AFF"/>
    <w:rsid w:val="00984564"/>
    <w:rsid w:val="00995A28"/>
    <w:rsid w:val="009C56FA"/>
    <w:rsid w:val="009C7B47"/>
    <w:rsid w:val="009E1EB1"/>
    <w:rsid w:val="009E5BAE"/>
    <w:rsid w:val="009F42D5"/>
    <w:rsid w:val="00A02D71"/>
    <w:rsid w:val="00A46542"/>
    <w:rsid w:val="00A57EA5"/>
    <w:rsid w:val="00A739FF"/>
    <w:rsid w:val="00A8090C"/>
    <w:rsid w:val="00A877CC"/>
    <w:rsid w:val="00A90BDF"/>
    <w:rsid w:val="00A917C9"/>
    <w:rsid w:val="00AF1802"/>
    <w:rsid w:val="00B306E1"/>
    <w:rsid w:val="00B32897"/>
    <w:rsid w:val="00B53196"/>
    <w:rsid w:val="00B545D3"/>
    <w:rsid w:val="00B734E6"/>
    <w:rsid w:val="00B77851"/>
    <w:rsid w:val="00B82870"/>
    <w:rsid w:val="00B87F36"/>
    <w:rsid w:val="00B95036"/>
    <w:rsid w:val="00B959E1"/>
    <w:rsid w:val="00BD3B66"/>
    <w:rsid w:val="00BD58A0"/>
    <w:rsid w:val="00BE7972"/>
    <w:rsid w:val="00BF7C34"/>
    <w:rsid w:val="00C07C6A"/>
    <w:rsid w:val="00C12BC8"/>
    <w:rsid w:val="00C13755"/>
    <w:rsid w:val="00C44936"/>
    <w:rsid w:val="00C52560"/>
    <w:rsid w:val="00C74ECF"/>
    <w:rsid w:val="00C854D3"/>
    <w:rsid w:val="00C973B4"/>
    <w:rsid w:val="00CF78D4"/>
    <w:rsid w:val="00D1138D"/>
    <w:rsid w:val="00D11DA5"/>
    <w:rsid w:val="00D1715C"/>
    <w:rsid w:val="00D21A1C"/>
    <w:rsid w:val="00D22547"/>
    <w:rsid w:val="00D36A57"/>
    <w:rsid w:val="00D67802"/>
    <w:rsid w:val="00D7117D"/>
    <w:rsid w:val="00D777AA"/>
    <w:rsid w:val="00D82A4D"/>
    <w:rsid w:val="00D830E6"/>
    <w:rsid w:val="00DA21E5"/>
    <w:rsid w:val="00DC7B42"/>
    <w:rsid w:val="00DD6E72"/>
    <w:rsid w:val="00DE0D01"/>
    <w:rsid w:val="00DE2269"/>
    <w:rsid w:val="00DE67FE"/>
    <w:rsid w:val="00DE7D1C"/>
    <w:rsid w:val="00E0271C"/>
    <w:rsid w:val="00E13745"/>
    <w:rsid w:val="00E31925"/>
    <w:rsid w:val="00E60BC9"/>
    <w:rsid w:val="00E62E94"/>
    <w:rsid w:val="00E64673"/>
    <w:rsid w:val="00E74B15"/>
    <w:rsid w:val="00E91283"/>
    <w:rsid w:val="00E94491"/>
    <w:rsid w:val="00EA0B4F"/>
    <w:rsid w:val="00EA68D4"/>
    <w:rsid w:val="00EC40E1"/>
    <w:rsid w:val="00EC468F"/>
    <w:rsid w:val="00EE20CF"/>
    <w:rsid w:val="00F01EA0"/>
    <w:rsid w:val="00F0735E"/>
    <w:rsid w:val="00F1619D"/>
    <w:rsid w:val="00F56D1D"/>
    <w:rsid w:val="00F62896"/>
    <w:rsid w:val="00F64A9A"/>
    <w:rsid w:val="00F76146"/>
    <w:rsid w:val="00F81BDF"/>
    <w:rsid w:val="00F91229"/>
    <w:rsid w:val="00F9622A"/>
    <w:rsid w:val="00FE28C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D7210"/>
  <w15:chartTrackingRefBased/>
  <w15:docId w15:val="{C1391211-D01C-4816-B1E2-2540C533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sz w:val="22"/>
        <w:szCs w:val="22"/>
        <w:lang w:val="en-US" w:eastAsia="en-US" w:bidi="ar-SA"/>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2D"/>
    <w:pPr>
      <w:spacing w:before="0" w:after="120" w:line="276" w:lineRule="auto"/>
    </w:pPr>
    <w:rPr>
      <w:rFonts w:ascii="Calibri" w:hAnsi="Calibri" w:cs="Noto Sans Display"/>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521316"/>
    <w:pPr>
      <w:keepNext/>
      <w:keepLines/>
      <w:spacing w:line="240" w:lineRule="auto"/>
      <w:outlineLvl w:val="1"/>
    </w:pPr>
    <w:rPr>
      <w:rFonts w:eastAsiaTheme="majorEastAsia"/>
      <w:b/>
      <w:color w:val="000000" w:themeColor="text1"/>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EA0B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0B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0B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521316"/>
    <w:rPr>
      <w:rFonts w:ascii="Calibri" w:eastAsiaTheme="majorEastAsia" w:hAnsi="Calibri" w:cs="Noto Sans Display"/>
      <w:b/>
      <w:color w:val="000000" w:themeColor="text1"/>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after="0"/>
      <w:contextualSpacing/>
    </w:pPr>
  </w:style>
  <w:style w:type="paragraph" w:customStyle="1" w:styleId="ColorIndent">
    <w:name w:val="ColorIndent"/>
    <w:basedOn w:val="Normal"/>
    <w:next w:val="Normal"/>
    <w:uiPriority w:val="13"/>
    <w:qFormat/>
    <w:rsid w:val="008A3958"/>
    <w:pPr>
      <w:spacing w:after="0"/>
      <w:ind w:left="1440"/>
    </w:pPr>
    <w:rPr>
      <w:color w:val="00B0F0"/>
      <w:szCs w:val="18"/>
      <w:lang w:val="fr-CH"/>
    </w:rPr>
  </w:style>
  <w:style w:type="paragraph" w:styleId="FootnoteText">
    <w:name w:val="footnote text"/>
    <w:basedOn w:val="Normal"/>
    <w:link w:val="FootnoteTextChar"/>
    <w:uiPriority w:val="99"/>
    <w:unhideWhenUsed/>
    <w:rsid w:val="008A3958"/>
    <w:pPr>
      <w:spacing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C44936"/>
    <w:pPr>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1"/>
    <w:rsid w:val="00C44936"/>
    <w:rPr>
      <w:rFonts w:ascii="Calibri" w:eastAsiaTheme="majorEastAsia" w:hAnsi="Calibri" w:cstheme="majorBidi"/>
      <w:b/>
      <w:spacing w:val="-10"/>
      <w:kern w:val="28"/>
      <w:sz w:val="36"/>
      <w:szCs w:val="56"/>
    </w:rPr>
  </w:style>
  <w:style w:type="paragraph" w:customStyle="1" w:styleId="BoxTitle">
    <w:name w:val="Box Title"/>
    <w:basedOn w:val="Title"/>
    <w:next w:val="Box"/>
    <w:uiPriority w:val="15"/>
    <w:qFormat/>
    <w:rsid w:val="00233291"/>
    <w:rPr>
      <w:rFonts w:ascii="Noto Sans Display" w:hAnsi="Noto Sans Display" w:cs="Noto Sans Display"/>
      <w:b w:val="0"/>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EA0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0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0B4F"/>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EA0B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EA0B4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18152D"/>
    <w:pPr>
      <w:spacing w:line="240" w:lineRule="auto"/>
      <w:ind w:left="720"/>
    </w:pPr>
  </w:style>
  <w:style w:type="character" w:styleId="IntenseEmphasis">
    <w:name w:val="Intense Emphasis"/>
    <w:basedOn w:val="DefaultParagraphFont"/>
    <w:uiPriority w:val="21"/>
    <w:qFormat/>
    <w:rsid w:val="00EA0B4F"/>
    <w:rPr>
      <w:i/>
      <w:iCs/>
      <w:color w:val="0F4761" w:themeColor="accent1" w:themeShade="BF"/>
    </w:rPr>
  </w:style>
  <w:style w:type="paragraph" w:styleId="IntenseQuote">
    <w:name w:val="Intense Quote"/>
    <w:basedOn w:val="Normal"/>
    <w:next w:val="Normal"/>
    <w:link w:val="IntenseQuoteChar"/>
    <w:uiPriority w:val="30"/>
    <w:qFormat/>
    <w:rsid w:val="00EA0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4F"/>
    <w:rPr>
      <w:rFonts w:ascii="Arial" w:hAnsi="Arial" w:cs="Noto Sans Display"/>
      <w:i/>
      <w:iCs/>
      <w:color w:val="0F4761" w:themeColor="accent1" w:themeShade="BF"/>
    </w:rPr>
  </w:style>
  <w:style w:type="character" w:styleId="IntenseReference">
    <w:name w:val="Intense Reference"/>
    <w:basedOn w:val="DefaultParagraphFont"/>
    <w:uiPriority w:val="32"/>
    <w:qFormat/>
    <w:rsid w:val="00EA0B4F"/>
    <w:rPr>
      <w:b/>
      <w:bCs/>
      <w:smallCaps/>
      <w:color w:val="0F4761" w:themeColor="accent1" w:themeShade="BF"/>
      <w:spacing w:val="5"/>
    </w:rPr>
  </w:style>
  <w:style w:type="character" w:styleId="CommentReference">
    <w:name w:val="annotation reference"/>
    <w:basedOn w:val="DefaultParagraphFont"/>
    <w:uiPriority w:val="99"/>
    <w:semiHidden/>
    <w:unhideWhenUsed/>
    <w:rsid w:val="00B87F36"/>
    <w:rPr>
      <w:sz w:val="16"/>
      <w:szCs w:val="16"/>
    </w:rPr>
  </w:style>
  <w:style w:type="paragraph" w:styleId="CommentText">
    <w:name w:val="annotation text"/>
    <w:basedOn w:val="Normal"/>
    <w:link w:val="CommentTextChar"/>
    <w:uiPriority w:val="99"/>
    <w:unhideWhenUsed/>
    <w:rsid w:val="00B87F36"/>
    <w:rPr>
      <w:sz w:val="20"/>
      <w:szCs w:val="20"/>
    </w:rPr>
  </w:style>
  <w:style w:type="character" w:customStyle="1" w:styleId="CommentTextChar">
    <w:name w:val="Comment Text Char"/>
    <w:basedOn w:val="DefaultParagraphFont"/>
    <w:link w:val="CommentText"/>
    <w:uiPriority w:val="99"/>
    <w:rsid w:val="00B87F36"/>
    <w:rPr>
      <w:rFonts w:ascii="Arial" w:hAnsi="Arial" w:cs="Noto Sans Display"/>
      <w:sz w:val="20"/>
      <w:szCs w:val="20"/>
    </w:rPr>
  </w:style>
  <w:style w:type="paragraph" w:styleId="CommentSubject">
    <w:name w:val="annotation subject"/>
    <w:basedOn w:val="CommentText"/>
    <w:next w:val="CommentText"/>
    <w:link w:val="CommentSubjectChar"/>
    <w:uiPriority w:val="99"/>
    <w:semiHidden/>
    <w:unhideWhenUsed/>
    <w:rsid w:val="00B87F36"/>
    <w:rPr>
      <w:b/>
      <w:bCs/>
    </w:rPr>
  </w:style>
  <w:style w:type="character" w:customStyle="1" w:styleId="CommentSubjectChar">
    <w:name w:val="Comment Subject Char"/>
    <w:basedOn w:val="CommentTextChar"/>
    <w:link w:val="CommentSubject"/>
    <w:uiPriority w:val="99"/>
    <w:semiHidden/>
    <w:rsid w:val="00B87F36"/>
    <w:rPr>
      <w:rFonts w:ascii="Arial" w:hAnsi="Arial" w:cs="Noto Sans Display"/>
      <w:b/>
      <w:bCs/>
      <w:sz w:val="20"/>
      <w:szCs w:val="20"/>
    </w:rPr>
  </w:style>
  <w:style w:type="paragraph" w:customStyle="1" w:styleId="Style1">
    <w:name w:val="Style1"/>
    <w:basedOn w:val="Normal"/>
    <w:link w:val="Style1Char"/>
    <w:qFormat/>
    <w:rsid w:val="00F1619D"/>
    <w:pPr>
      <w:jc w:val="center"/>
    </w:pPr>
    <w:rPr>
      <w:b/>
      <w:bCs/>
    </w:rPr>
  </w:style>
  <w:style w:type="character" w:customStyle="1" w:styleId="Style1Char">
    <w:name w:val="Style1 Char"/>
    <w:basedOn w:val="DefaultParagraphFont"/>
    <w:link w:val="Style1"/>
    <w:rsid w:val="00F1619D"/>
    <w:rPr>
      <w:rFonts w:ascii="Arial" w:hAnsi="Arial" w:cs="Noto Sans Display"/>
      <w:b/>
      <w:bCs/>
    </w:rPr>
  </w:style>
  <w:style w:type="paragraph" w:customStyle="1" w:styleId="Style2">
    <w:name w:val="Style2"/>
    <w:basedOn w:val="Normal"/>
    <w:link w:val="Style2Char"/>
    <w:qFormat/>
    <w:rsid w:val="00F1619D"/>
    <w:rPr>
      <w:b/>
      <w:bCs/>
    </w:rPr>
  </w:style>
  <w:style w:type="character" w:customStyle="1" w:styleId="Style2Char">
    <w:name w:val="Style2 Char"/>
    <w:basedOn w:val="DefaultParagraphFont"/>
    <w:link w:val="Style2"/>
    <w:rsid w:val="00F1619D"/>
    <w:rPr>
      <w:rFonts w:ascii="Arial" w:hAnsi="Arial" w:cs="Noto Sans Display"/>
      <w:b/>
      <w:bCs/>
    </w:rPr>
  </w:style>
  <w:style w:type="paragraph" w:styleId="Revision">
    <w:name w:val="Revision"/>
    <w:hidden/>
    <w:uiPriority w:val="99"/>
    <w:semiHidden/>
    <w:rsid w:val="00B32897"/>
    <w:pPr>
      <w:spacing w:before="0" w:after="0"/>
    </w:pPr>
    <w:rPr>
      <w:rFonts w:ascii="Arial" w:hAnsi="Arial" w:cs="Noto Sans Display"/>
    </w:rPr>
  </w:style>
  <w:style w:type="character" w:styleId="PlaceholderText">
    <w:name w:val="Placeholder Text"/>
    <w:basedOn w:val="DefaultParagraphFont"/>
    <w:uiPriority w:val="99"/>
    <w:semiHidden/>
    <w:rsid w:val="003A0F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3.xml><?xml version="1.0" encoding="utf-8"?>
<ds:datastoreItem xmlns:ds="http://schemas.openxmlformats.org/officeDocument/2006/customXml" ds:itemID="{4AC6AD17-61F5-4EBB-ACFF-E116116FD9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1d33f3-3a73-47ee-92a5-c817f2c19325}" enabled="1" method="Privileged" siteId="{9e8a5334-497c-4d8a-a797-7997cf8cc76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LÖVBLAD Monica</dc:creator>
  <cp:keywords/>
  <dc:description/>
  <cp:lastModifiedBy>Frances Gentle</cp:lastModifiedBy>
  <cp:revision>3</cp:revision>
  <cp:lastPrinted>2026-05-29T00:52:00Z</cp:lastPrinted>
  <dcterms:created xsi:type="dcterms:W3CDTF">2026-06-03T04:01:00Z</dcterms:created>
  <dcterms:modified xsi:type="dcterms:W3CDTF">2026-06-04T06:32:00Z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2026-05-12T10:26:48Z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284b61b9-3d93-40c0-8729-e25dee1cf0df</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